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F1" w:rsidRDefault="00787ACC">
      <w:pPr>
        <w:pStyle w:val="10"/>
        <w:keepNext/>
        <w:keepLines/>
      </w:pPr>
      <w:bookmarkStart w:id="0" w:name="bookmark0"/>
      <w:r>
        <w:t>Опросник суицидального риска в модификации Т.Н.</w:t>
      </w:r>
      <w:r>
        <w:br/>
        <w:t>Разуваевой</w:t>
      </w:r>
      <w:bookmarkEnd w:id="0"/>
    </w:p>
    <w:p w:rsidR="00B65BF1" w:rsidRDefault="00787ACC">
      <w:pPr>
        <w:pStyle w:val="11"/>
        <w:jc w:val="both"/>
      </w:pPr>
      <w:r>
        <w:t>Предназначен для диагностики суицидального риска, выявления уровня сформированности суицидальных намерений с целью предупреждения попыток самоубийства.</w:t>
      </w:r>
    </w:p>
    <w:p w:rsidR="00B65BF1" w:rsidRDefault="00787ACC">
      <w:pPr>
        <w:pStyle w:val="11"/>
        <w:jc w:val="both"/>
      </w:pPr>
      <w:r>
        <w:t xml:space="preserve">Опросник ОСР прошел психометрическую </w:t>
      </w:r>
      <w:r>
        <w:t>адаптацию. На первом этапе при обследовании 24 пациентов кризисного стационара на базе больницы № 20 г. Москвы были отобраны пункты ММИЛ (Березин), выражающие специфику ответов суицидентов по сравнению с обычными людьми. На втором этапе перечень пунктов из</w:t>
      </w:r>
      <w:r>
        <w:t xml:space="preserve"> ММИЛ был дополнен рядом авторских оригинальных вопросов, и пилотажная версия ОСР из 72 пунктов предъявлялась 77 испытуемым с целью отбора пунктов по методу экстремальных групп. 20 испытуемых из 77 были пациентами указанного Кризисного отделения больницы №</w:t>
      </w:r>
      <w:r>
        <w:t xml:space="preserve"> 20. В результате было отобрано 29 пунктов, обладавших значимым ф = коэффициентом четырехклеточной</w:t>
      </w:r>
      <w:bookmarkStart w:id="1" w:name="_GoBack"/>
      <w:bookmarkEnd w:id="1"/>
      <w:r>
        <w:t xml:space="preserve"> корреляции между ответами на пункт и показанием в группе суицидентов.</w:t>
      </w:r>
    </w:p>
    <w:p w:rsidR="00B65BF1" w:rsidRDefault="00787ACC">
      <w:pPr>
        <w:pStyle w:val="11"/>
        <w:jc w:val="both"/>
      </w:pPr>
      <w:r>
        <w:rPr>
          <w:u w:val="single"/>
        </w:rPr>
        <w:t>Опросник</w:t>
      </w:r>
    </w:p>
    <w:p w:rsidR="00B65BF1" w:rsidRDefault="00787ACC">
      <w:pPr>
        <w:pStyle w:val="11"/>
        <w:spacing w:line="254" w:lineRule="auto"/>
        <w:jc w:val="both"/>
      </w:pPr>
      <w:r>
        <w:rPr>
          <w:u w:val="single"/>
        </w:rPr>
        <w:t>Инструкция:</w:t>
      </w:r>
      <w:r>
        <w:t xml:space="preserve"> Вам будет предложено оценить 29 утверждений. Если Вы, читая утверж</w:t>
      </w:r>
      <w:r>
        <w:t>дение, соглашаетесь с ним, то поставьте знак «+» в соответствующей графе регистрационного бланка. Если не соглашаетесь - поставьте знак «-».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Вы всё чувствуете острее, чем большинство людей.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Вас часто одолевают мрачные мысли.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Теперь Вы уже не надеетесь доби</w:t>
      </w:r>
      <w:r>
        <w:t>ться желаемого положения в жизни.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В случае неудачи Вам трудно начать новое дело.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Вам определённо не везёт в жизни.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Работать (учиться) Вам стало труднее, чем раньше.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Большинство людей довольны жизнью больше, чем Вы.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Вы считаете, что смерть является искуплен</w:t>
      </w:r>
      <w:r>
        <w:t>ием грехов.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735"/>
        </w:tabs>
        <w:spacing w:after="0"/>
        <w:ind w:firstLine="380"/>
      </w:pPr>
      <w:r>
        <w:t>Только зрелый человек может принять решение уйти из жизни.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Временами у Вас бывают приступы неудержимого смеха или плача.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left="700" w:hanging="320"/>
      </w:pPr>
      <w:r>
        <w:t>Обычно Вы осторожны с людьми, которые относятся к Вам дружелюбнее, чем вы ожидали.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Вы считаете себя обречённым человеком.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М</w:t>
      </w:r>
      <w:r>
        <w:t>ало кто искренне пытается помочь другим, если это связанно с неудобствами.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У Вас такое впечатление, что Вас никто не понимает.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left="700" w:hanging="320"/>
      </w:pPr>
      <w:r>
        <w:t>Человек, который водит других в соблазн, оставляя без присмотра ценное имущество, виноват примерно столько же, сколько и тот, кто</w:t>
      </w:r>
      <w:r>
        <w:t xml:space="preserve"> это имущество похищает.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В Вашей жизни не было таких неудач, когда казалось, что всё кончено.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Обычно Вы удовлетворены своей судьбой.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firstLine="380"/>
      </w:pPr>
      <w:r>
        <w:t>Вы считаете, что всегда нужно вовремя поставить точку.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25"/>
        </w:tabs>
        <w:spacing w:after="0"/>
        <w:ind w:left="700" w:hanging="320"/>
      </w:pPr>
      <w:r>
        <w:t xml:space="preserve">В Вашей жизни есть люди, привязанность к которым может очень </w:t>
      </w:r>
      <w:r>
        <w:t>повлиять на Ваше решение и даже изменить его.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left="700" w:hanging="320"/>
      </w:pPr>
      <w:r>
        <w:t>Когда Вас обижают, Вы стремитесь во что бы то ни стало доказать обидчику, что он поступил несправедливо.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Часто Вы так переживаете, что это мешает Вам говорить.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left="700" w:hanging="320"/>
      </w:pPr>
      <w:r>
        <w:t>Вам часто кажется, что обстоятельства, в которых В</w:t>
      </w:r>
      <w:r>
        <w:t>ы оказались, отличаются особой несправедливостью.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Иногда Вам кажется, что Вы вдруг сделали что-то скверное или даже очень плохое.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Будущее представляется Вам довольно беспросветным.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Большинство людей способны добиваться выгоды не совсем честным путём.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Будущ</w:t>
      </w:r>
      <w:r>
        <w:t>ее слишком расплывчато, чтобы строить серьёзные планы.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firstLine="380"/>
      </w:pPr>
      <w:r>
        <w:t>Мало кому в жизни пришлось испытать то, что пережили недавно Вы.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spacing w:after="0"/>
        <w:ind w:left="700" w:hanging="320"/>
      </w:pPr>
      <w:r>
        <w:t>Вы склонны так остро переживать неприятности, что не можете выкинуть мысли об этом из головы.</w:t>
      </w:r>
    </w:p>
    <w:p w:rsidR="00B65BF1" w:rsidRDefault="00787ACC">
      <w:pPr>
        <w:pStyle w:val="11"/>
        <w:numPr>
          <w:ilvl w:val="0"/>
          <w:numId w:val="1"/>
        </w:numPr>
        <w:tabs>
          <w:tab w:val="left" w:pos="844"/>
        </w:tabs>
        <w:ind w:firstLine="380"/>
      </w:pPr>
      <w:r>
        <w:t>Часто Вы действуете необдуманно, повинуясь</w:t>
      </w:r>
      <w:r>
        <w:t xml:space="preserve"> первому порыву.</w:t>
      </w:r>
      <w:r>
        <w:br w:type="page"/>
      </w:r>
    </w:p>
    <w:p w:rsidR="00B65BF1" w:rsidRDefault="00787ACC">
      <w:pPr>
        <w:pStyle w:val="a5"/>
        <w:ind w:left="115"/>
      </w:pPr>
      <w:r>
        <w:lastRenderedPageBreak/>
        <w:t>Регистрационный бланк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594"/>
        <w:gridCol w:w="1598"/>
        <w:gridCol w:w="1598"/>
        <w:gridCol w:w="1598"/>
        <w:gridCol w:w="1627"/>
      </w:tblGrid>
      <w:tr w:rsidR="00B65BF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12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18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24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F1" w:rsidRDefault="00B65BF1">
            <w:pPr>
              <w:rPr>
                <w:sz w:val="10"/>
                <w:szCs w:val="10"/>
              </w:rPr>
            </w:pPr>
          </w:p>
        </w:tc>
      </w:tr>
    </w:tbl>
    <w:p w:rsidR="00B65BF1" w:rsidRDefault="00787ACC">
      <w:pPr>
        <w:pStyle w:val="a5"/>
        <w:ind w:left="96"/>
      </w:pPr>
      <w:r>
        <w:rPr>
          <w:u w:val="none"/>
        </w:rPr>
        <w:t>Ключ</w:t>
      </w:r>
    </w:p>
    <w:p w:rsidR="00B65BF1" w:rsidRDefault="00B65BF1">
      <w:pPr>
        <w:spacing w:after="239" w:line="1" w:lineRule="exact"/>
      </w:pPr>
    </w:p>
    <w:p w:rsidR="00B65BF1" w:rsidRDefault="00787ACC">
      <w:pPr>
        <w:pStyle w:val="11"/>
      </w:pPr>
      <w:r>
        <w:t xml:space="preserve">По каждой шкале подсчитывается сумма положительных ответов. Полученный балл умножается на коэффициент. Делается вывод о </w:t>
      </w:r>
      <w:r>
        <w:t>наличии/отсутствии факторов суицидального риска и степени их выраженности. Чем ближе значение фактора к максимально возможной его величине, тем более он выражен.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2525"/>
        <w:gridCol w:w="1829"/>
        <w:gridCol w:w="1613"/>
      </w:tblGrid>
      <w:tr w:rsidR="00B65BF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Шкала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Номера суждений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Коэффициент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F1" w:rsidRDefault="00E16948">
            <w:pPr>
              <w:pStyle w:val="a7"/>
              <w:spacing w:after="0" w:line="257" w:lineRule="auto"/>
              <w:jc w:val="center"/>
            </w:pPr>
            <w:r>
              <w:t>М</w:t>
            </w:r>
            <w:r w:rsidR="00787ACC">
              <w:t>ах</w:t>
            </w:r>
            <w:r>
              <w:t>.</w:t>
            </w:r>
            <w:r w:rsidR="00787ACC">
              <w:t xml:space="preserve"> значение фактора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1. Демонстративность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12,14,20,22,27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2. Аффективность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1,10,20,23,28,29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6,6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3. Уникальность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1,12,14,22,27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4. Несостоятельность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2,3,6,7,21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7,5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5. Социальный пессимизм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5,11,13,15,22,25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6. Слом культурных барьеров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8,9,18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2,3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6,9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7. Максимализм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4,16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6,4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 xml:space="preserve">8. </w:t>
            </w:r>
            <w:r>
              <w:t>Временная перспектива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2,3,12,24,26,27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6,6</w:t>
            </w:r>
          </w:p>
        </w:tc>
      </w:tr>
      <w:tr w:rsidR="00B65BF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9. Антисуицидальный фактор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</w:pPr>
            <w:r>
              <w:t>17,19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F1" w:rsidRDefault="00787ACC">
            <w:pPr>
              <w:pStyle w:val="a7"/>
              <w:spacing w:after="0" w:line="240" w:lineRule="auto"/>
              <w:jc w:val="center"/>
            </w:pPr>
            <w:r>
              <w:t>6,4</w:t>
            </w:r>
          </w:p>
        </w:tc>
      </w:tr>
    </w:tbl>
    <w:p w:rsidR="00B65BF1" w:rsidRDefault="00B65BF1">
      <w:pPr>
        <w:spacing w:after="239" w:line="1" w:lineRule="exact"/>
      </w:pPr>
    </w:p>
    <w:p w:rsidR="00B65BF1" w:rsidRDefault="00787ACC">
      <w:pPr>
        <w:pStyle w:val="11"/>
        <w:jc w:val="both"/>
      </w:pPr>
      <w:r>
        <w:rPr>
          <w:u w:val="single"/>
        </w:rPr>
        <w:t>Интерпретация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294"/>
        </w:tabs>
      </w:pPr>
      <w:r>
        <w:rPr>
          <w:u w:val="single"/>
        </w:rPr>
        <w:t>Демонстративность. Ж</w:t>
      </w:r>
      <w:r>
        <w:t xml:space="preserve">елание привлечь внимание окружающих к своим несчастьям, добиться сочувствия и понимания. Оцениваемое из внешней позиции порой как </w:t>
      </w:r>
      <w:r>
        <w:t>«шантаж», «истероидное выпячивание трудностей», демонстративное суицидальное поведение переживается изнутри как «крик о помощи». Наиболее суицидоопасно сочетание с эмоциональной ригидностью, когда «диалог с миром» может зайти очень далеко.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289"/>
        </w:tabs>
        <w:spacing w:line="254" w:lineRule="auto"/>
      </w:pPr>
      <w:r>
        <w:rPr>
          <w:u w:val="single"/>
        </w:rPr>
        <w:t>Аффективность. Д</w:t>
      </w:r>
      <w:r>
        <w:t>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289"/>
        </w:tabs>
      </w:pPr>
      <w:r>
        <w:rPr>
          <w:u w:val="single"/>
        </w:rPr>
        <w:t>Уникальность.</w:t>
      </w:r>
      <w:r>
        <w:t xml:space="preserve"> Восприятие себя, ситуации и, возможн</w:t>
      </w:r>
      <w:r>
        <w:t>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«непроницаемости» для опыта, т.е. с недостаточным умением исп</w:t>
      </w:r>
      <w:r>
        <w:t>ользовать свой и чужой опыт.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29"/>
        </w:tabs>
        <w:ind w:left="140"/>
      </w:pPr>
      <w:r>
        <w:rPr>
          <w:u w:val="single"/>
        </w:rPr>
        <w:t>Несостоятельность.</w:t>
      </w:r>
      <w:r>
        <w:t xml:space="preserve"> Отрицательная концепция собственной личности. Представление о своей несостоятельности, некомпетентности, ненужности, «выключенности» из мира. Данная шкала может быть связана с представлениями о физической, ин</w:t>
      </w:r>
      <w:r>
        <w:t xml:space="preserve">теллектуальной, моральной и прочей несостоятельностью. Несостоятельность выражает интрапунитивный радикал. Формула внешнего </w:t>
      </w:r>
      <w:r>
        <w:lastRenderedPageBreak/>
        <w:t>монолога - «Я плох».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34"/>
        </w:tabs>
        <w:spacing w:line="254" w:lineRule="auto"/>
        <w:ind w:left="140"/>
      </w:pPr>
      <w:r>
        <w:rPr>
          <w:u w:val="single"/>
        </w:rPr>
        <w:t>Социальный пессимизм.</w:t>
      </w:r>
      <w:r>
        <w:t xml:space="preserve"> Отрицательная концепция окружающего мира. Восприятие мира как враждебного, не соответству</w:t>
      </w:r>
      <w:r>
        <w:t>ющего представлениям о нормальных или удовлетворительных для человека отношениях с окружающими. Социальный пессимизм тесно связан с экстрапунитивным стилем каузальной атрибуции. Наблюдается экстрапунитивность по формуле внутреннего монолога - «Вы все недос</w:t>
      </w:r>
      <w:r>
        <w:t>тойны меня».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29"/>
        </w:tabs>
        <w:ind w:left="140"/>
      </w:pPr>
      <w:r>
        <w:rPr>
          <w:u w:val="single"/>
        </w:rPr>
        <w:t>Слом культурных барьеров.</w:t>
      </w:r>
      <w:r>
        <w:t xml:space="preserve"> 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</w:t>
      </w:r>
      <w:r>
        <w:t>о. В крайнем варианте - инверсия ценности смерти и жизни. В отсутствие выраженных пиков по другим шкалам это может говорить только об «экзистенции смерти». Одна из возможных внутренних причин культа смерти - доведенная до патологического максимализма смысл</w:t>
      </w:r>
      <w:r>
        <w:t>овая установка на самодеятельность: «Вершитель собственной судьбы сам определяет конец своего существования».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24"/>
        </w:tabs>
        <w:spacing w:line="254" w:lineRule="auto"/>
        <w:ind w:left="140"/>
      </w:pPr>
      <w:r>
        <w:rPr>
          <w:u w:val="single"/>
        </w:rPr>
        <w:t>Максимализм.</w:t>
      </w:r>
      <w:r>
        <w:t xml:space="preserve"> 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29"/>
        </w:tabs>
        <w:ind w:left="140"/>
      </w:pPr>
      <w:r>
        <w:rPr>
          <w:u w:val="single"/>
        </w:rPr>
        <w:t>Временная перспектива.</w:t>
      </w:r>
      <w:r>
        <w:t xml:space="preserve"> 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</w:t>
      </w:r>
    </w:p>
    <w:p w:rsidR="00B65BF1" w:rsidRDefault="00787ACC">
      <w:pPr>
        <w:pStyle w:val="11"/>
        <w:numPr>
          <w:ilvl w:val="0"/>
          <w:numId w:val="2"/>
        </w:numPr>
        <w:tabs>
          <w:tab w:val="left" w:pos="429"/>
        </w:tabs>
        <w:spacing w:line="254" w:lineRule="auto"/>
        <w:ind w:left="140"/>
      </w:pPr>
      <w:r>
        <w:rPr>
          <w:u w:val="single"/>
        </w:rPr>
        <w:t>Антисуицидальный фактор. Д</w:t>
      </w:r>
      <w:r>
        <w:t>аж</w:t>
      </w:r>
      <w:r>
        <w:t>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антиэстетичности его, бояз</w:t>
      </w:r>
      <w:r>
        <w:t>нь боли и физических страданий. В определенном смысле это показатель наличного уровня предпосылок для психокоррекционной работы.</w:t>
      </w:r>
    </w:p>
    <w:sectPr w:rsidR="00B65BF1">
      <w:pgSz w:w="11900" w:h="16840"/>
      <w:pgMar w:top="1186" w:right="726" w:bottom="1044" w:left="1568" w:header="758" w:footer="6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CC" w:rsidRDefault="00787ACC">
      <w:r>
        <w:separator/>
      </w:r>
    </w:p>
  </w:endnote>
  <w:endnote w:type="continuationSeparator" w:id="0">
    <w:p w:rsidR="00787ACC" w:rsidRDefault="0078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CC" w:rsidRDefault="00787ACC"/>
  </w:footnote>
  <w:footnote w:type="continuationSeparator" w:id="0">
    <w:p w:rsidR="00787ACC" w:rsidRDefault="00787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092E"/>
    <w:multiLevelType w:val="multilevel"/>
    <w:tmpl w:val="A004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FB5DE4"/>
    <w:multiLevelType w:val="multilevel"/>
    <w:tmpl w:val="86F4D4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F1"/>
    <w:rsid w:val="00787ACC"/>
    <w:rsid w:val="00B65BF1"/>
    <w:rsid w:val="00E1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A9E"/>
  <w15:docId w15:val="{1A25FF6F-E476-4DDD-8484-396157E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before="80" w:after="24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24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0"/>
      <w:szCs w:val="20"/>
      <w:u w:val="single"/>
    </w:rPr>
  </w:style>
  <w:style w:type="paragraph" w:customStyle="1" w:styleId="a7">
    <w:name w:val="Другое"/>
    <w:basedOn w:val="a"/>
    <w:link w:val="a6"/>
    <w:pPr>
      <w:spacing w:after="240" w:line="25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Гаромония</dc:creator>
  <cp:keywords/>
  <cp:lastModifiedBy>Александр Селевин</cp:lastModifiedBy>
  <cp:revision>2</cp:revision>
  <dcterms:created xsi:type="dcterms:W3CDTF">2024-05-30T08:05:00Z</dcterms:created>
  <dcterms:modified xsi:type="dcterms:W3CDTF">2024-05-30T08:07:00Z</dcterms:modified>
</cp:coreProperties>
</file>